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96FC7">
        <w:tc>
          <w:tcPr>
            <w:tcW w:w="4605" w:type="dxa"/>
          </w:tcPr>
          <w:p w:rsidR="00E96FC7" w:rsidRDefault="00E96F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  <w:p w:rsidR="00E96FC7" w:rsidRDefault="00E96FC7">
            <w:pPr>
              <w:pStyle w:val="Kopfzeile"/>
              <w:jc w:val="right"/>
              <w:rPr>
                <w:rFonts w:cs="Arial"/>
                <w:color w:val="FFFFFF"/>
                <w:sz w:val="24"/>
              </w:rPr>
            </w:pPr>
            <w:r>
              <w:rPr>
                <w:rFonts w:cs="Arial"/>
                <w:color w:val="FFFFFF"/>
                <w:sz w:val="24"/>
              </w:rPr>
              <w:t xml:space="preserve">@@SDN </w:t>
            </w:r>
          </w:p>
          <w:p w:rsidR="00E96FC7" w:rsidRDefault="00E96FC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</w:p>
          <w:p w:rsidR="00E96FC7" w:rsidRDefault="00E96FC7" w:rsidP="002A7E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Pressemitteilung vom </w:t>
            </w:r>
            <w:r w:rsidR="00D2332F">
              <w:rPr>
                <w:rFonts w:cs="Arial"/>
                <w:sz w:val="24"/>
              </w:rPr>
              <w:t>12</w:t>
            </w:r>
            <w:r w:rsidR="008A7315">
              <w:rPr>
                <w:rFonts w:cs="Arial"/>
                <w:sz w:val="24"/>
              </w:rPr>
              <w:t>.05.2010</w:t>
            </w:r>
          </w:p>
        </w:tc>
        <w:tc>
          <w:tcPr>
            <w:tcW w:w="4605" w:type="dxa"/>
          </w:tcPr>
          <w:p w:rsidR="00E96FC7" w:rsidRDefault="004D183F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19350" cy="657225"/>
                  <wp:effectExtent l="19050" t="0" r="0" b="0"/>
                  <wp:docPr id="1" name="Bild 1" descr="G:\VORLAGEN\Logo_s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:\VORLAGEN\Logo_s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FC7" w:rsidRDefault="00E96FC7">
      <w:pPr>
        <w:rPr>
          <w:sz w:val="24"/>
        </w:rPr>
      </w:pPr>
    </w:p>
    <w:p w:rsidR="00D21DE2" w:rsidRDefault="00D21DE2">
      <w:pPr>
        <w:rPr>
          <w:sz w:val="24"/>
        </w:rPr>
      </w:pPr>
    </w:p>
    <w:p w:rsidR="00E96FC7" w:rsidRPr="00324E01" w:rsidRDefault="00E43615">
      <w:pPr>
        <w:rPr>
          <w:rFonts w:cs="Arial"/>
          <w:b/>
          <w:sz w:val="24"/>
          <w:szCs w:val="24"/>
        </w:rPr>
      </w:pPr>
      <w:r w:rsidRPr="00324E01">
        <w:rPr>
          <w:rFonts w:cs="Arial"/>
          <w:b/>
          <w:sz w:val="24"/>
          <w:szCs w:val="24"/>
        </w:rPr>
        <w:t>Gemeindetag fordert nachhaltiges Wirtschaften mit den Steuermehreinnahmen</w:t>
      </w:r>
    </w:p>
    <w:p w:rsidR="00E96FC7" w:rsidRDefault="006A30C9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29103E" w:rsidRDefault="004856B4">
      <w:pPr>
        <w:pStyle w:val="berschrift1"/>
      </w:pPr>
      <w:r>
        <w:t>Wirtschaft braucht laufenden</w:t>
      </w:r>
      <w:r w:rsidR="00324E01">
        <w:t xml:space="preserve"> </w:t>
      </w:r>
      <w:r w:rsidR="00E43615">
        <w:t>kommunalen Motor</w:t>
      </w:r>
    </w:p>
    <w:p w:rsidR="00E96FC7" w:rsidRPr="003C5235" w:rsidRDefault="006A30C9" w:rsidP="003C5235">
      <w:pPr>
        <w:pStyle w:val="berschrift1"/>
      </w:pPr>
      <w:r>
        <w:t xml:space="preserve"> </w:t>
      </w:r>
    </w:p>
    <w:p w:rsidR="000C6C47" w:rsidRDefault="003879D7" w:rsidP="00324E01">
      <w:pPr>
        <w:ind w:right="2691"/>
        <w:rPr>
          <w:sz w:val="24"/>
        </w:rPr>
      </w:pPr>
      <w:r>
        <w:rPr>
          <w:sz w:val="24"/>
        </w:rPr>
        <w:t xml:space="preserve">Stuttgart.  </w:t>
      </w:r>
      <w:r w:rsidR="00E43615">
        <w:rPr>
          <w:sz w:val="24"/>
        </w:rPr>
        <w:t xml:space="preserve">Dank des starken </w:t>
      </w:r>
      <w:r w:rsidR="00B07F44">
        <w:rPr>
          <w:sz w:val="24"/>
        </w:rPr>
        <w:t>Wirtschaftsw</w:t>
      </w:r>
      <w:r w:rsidR="00E43615">
        <w:rPr>
          <w:sz w:val="24"/>
        </w:rPr>
        <w:t xml:space="preserve">achstums können auch die baden-württembergischen Städte und Gemeinden </w:t>
      </w:r>
      <w:r w:rsidR="008D04BF">
        <w:rPr>
          <w:sz w:val="24"/>
        </w:rPr>
        <w:t xml:space="preserve">vorerst </w:t>
      </w:r>
      <w:r w:rsidR="00E43615">
        <w:rPr>
          <w:sz w:val="24"/>
        </w:rPr>
        <w:t>aufatmen: Die vom Arbeitskreis Steuerschätzung bis 201</w:t>
      </w:r>
      <w:r w:rsidR="005A64A3">
        <w:rPr>
          <w:sz w:val="24"/>
        </w:rPr>
        <w:t>5</w:t>
      </w:r>
      <w:r w:rsidR="00E43615">
        <w:rPr>
          <w:sz w:val="24"/>
        </w:rPr>
        <w:t xml:space="preserve"> vorgelegten Zahlen zeigen für Bund, Länder und Kommunen rund 13</w:t>
      </w:r>
      <w:r w:rsidR="005A64A3">
        <w:rPr>
          <w:sz w:val="24"/>
        </w:rPr>
        <w:t>0</w:t>
      </w:r>
      <w:r w:rsidR="00E43615">
        <w:rPr>
          <w:sz w:val="24"/>
        </w:rPr>
        <w:t xml:space="preserve"> Milliarden Euro Mehreinnahme</w:t>
      </w:r>
      <w:r w:rsidR="009C76BE">
        <w:rPr>
          <w:sz w:val="24"/>
        </w:rPr>
        <w:t xml:space="preserve">n. </w:t>
      </w:r>
      <w:r w:rsidR="008D04BF">
        <w:rPr>
          <w:sz w:val="24"/>
        </w:rPr>
        <w:t xml:space="preserve">Um eine seriöse Aussage über den Anteil für </w:t>
      </w:r>
      <w:r w:rsidR="009C76BE">
        <w:rPr>
          <w:sz w:val="24"/>
        </w:rPr>
        <w:t>die Kommune</w:t>
      </w:r>
      <w:r w:rsidR="008D04BF">
        <w:rPr>
          <w:sz w:val="24"/>
        </w:rPr>
        <w:t>n im Lande sowie die Verwendung der Mittel zu machen, wird der Gemeindetag weitere konkrete Zahlen abwarten sowie eigene Analysen vornehmen.</w:t>
      </w:r>
    </w:p>
    <w:p w:rsidR="000C6C47" w:rsidRDefault="000C6C47" w:rsidP="00324E01">
      <w:pPr>
        <w:ind w:right="2691"/>
        <w:rPr>
          <w:sz w:val="24"/>
        </w:rPr>
      </w:pPr>
    </w:p>
    <w:p w:rsidR="009C76BE" w:rsidRDefault="008D04BF" w:rsidP="00324E01">
      <w:pPr>
        <w:ind w:right="2691"/>
        <w:rPr>
          <w:sz w:val="24"/>
        </w:rPr>
      </w:pPr>
      <w:r>
        <w:rPr>
          <w:sz w:val="24"/>
        </w:rPr>
        <w:t xml:space="preserve"> </w:t>
      </w:r>
      <w:r w:rsidR="009C76BE">
        <w:rPr>
          <w:sz w:val="24"/>
        </w:rPr>
        <w:t>„</w:t>
      </w:r>
      <w:r>
        <w:rPr>
          <w:sz w:val="24"/>
        </w:rPr>
        <w:t xml:space="preserve">Wir sollten uns aufgrund des </w:t>
      </w:r>
      <w:r w:rsidR="009C76BE">
        <w:rPr>
          <w:sz w:val="24"/>
        </w:rPr>
        <w:t>warmen Geldregen</w:t>
      </w:r>
      <w:r w:rsidR="000C6C47">
        <w:rPr>
          <w:sz w:val="24"/>
        </w:rPr>
        <w:t>s</w:t>
      </w:r>
      <w:r w:rsidR="004C2A9F">
        <w:rPr>
          <w:sz w:val="24"/>
        </w:rPr>
        <w:t xml:space="preserve"> aber nicht in Sicherheit wiegen</w:t>
      </w:r>
      <w:r w:rsidR="009C76BE">
        <w:rPr>
          <w:sz w:val="24"/>
        </w:rPr>
        <w:t xml:space="preserve">“, warnt Gemeindetagspräsident Roger Kehle. </w:t>
      </w:r>
      <w:r w:rsidR="004C2A9F">
        <w:rPr>
          <w:sz w:val="24"/>
        </w:rPr>
        <w:t xml:space="preserve">Die öffentliche Hand </w:t>
      </w:r>
      <w:r w:rsidR="000C6C47">
        <w:rPr>
          <w:sz w:val="24"/>
        </w:rPr>
        <w:t xml:space="preserve">könne </w:t>
      </w:r>
      <w:r w:rsidR="004C2A9F">
        <w:rPr>
          <w:sz w:val="24"/>
        </w:rPr>
        <w:t xml:space="preserve">nicht </w:t>
      </w:r>
      <w:r w:rsidR="000C6C47">
        <w:rPr>
          <w:sz w:val="24"/>
        </w:rPr>
        <w:t>über Nacht finanziell saniert we</w:t>
      </w:r>
      <w:r w:rsidR="004C2A9F">
        <w:rPr>
          <w:sz w:val="24"/>
        </w:rPr>
        <w:t xml:space="preserve">rden. </w:t>
      </w:r>
      <w:r w:rsidR="008B7BE6">
        <w:rPr>
          <w:sz w:val="24"/>
        </w:rPr>
        <w:t>Die Gewerbesteuer fließe</w:t>
      </w:r>
      <w:r>
        <w:rPr>
          <w:sz w:val="24"/>
        </w:rPr>
        <w:t xml:space="preserve"> noch nicht überall und vor allem nicht gleichmäßig. Darüber hinaus steht </w:t>
      </w:r>
      <w:r w:rsidR="004C2A9F">
        <w:rPr>
          <w:sz w:val="24"/>
        </w:rPr>
        <w:t>de</w:t>
      </w:r>
      <w:r w:rsidR="009C3553">
        <w:rPr>
          <w:sz w:val="24"/>
        </w:rPr>
        <w:t>m</w:t>
      </w:r>
      <w:r w:rsidR="004C2A9F">
        <w:rPr>
          <w:sz w:val="24"/>
        </w:rPr>
        <w:t xml:space="preserve"> Einnahmeplus </w:t>
      </w:r>
      <w:r>
        <w:rPr>
          <w:sz w:val="24"/>
        </w:rPr>
        <w:t xml:space="preserve">noch immer </w:t>
      </w:r>
      <w:r w:rsidR="004C2A9F">
        <w:rPr>
          <w:sz w:val="24"/>
        </w:rPr>
        <w:t>ein gewaltiger Ausgabenb</w:t>
      </w:r>
      <w:r w:rsidR="004856B4">
        <w:rPr>
          <w:sz w:val="24"/>
        </w:rPr>
        <w:t xml:space="preserve">erg gegenüber. Sogar im besten Steuereinnahmejahr 2008 </w:t>
      </w:r>
      <w:r w:rsidR="009C76BE">
        <w:rPr>
          <w:sz w:val="24"/>
        </w:rPr>
        <w:t>hat</w:t>
      </w:r>
      <w:r w:rsidR="000C6C47">
        <w:rPr>
          <w:sz w:val="24"/>
        </w:rPr>
        <w:t>te</w:t>
      </w:r>
      <w:r w:rsidR="009C76BE">
        <w:rPr>
          <w:sz w:val="24"/>
        </w:rPr>
        <w:t xml:space="preserve"> der Bund </w:t>
      </w:r>
      <w:r w:rsidR="004856B4">
        <w:rPr>
          <w:sz w:val="24"/>
        </w:rPr>
        <w:t xml:space="preserve">noch </w:t>
      </w:r>
      <w:r w:rsidR="009C76BE">
        <w:rPr>
          <w:sz w:val="24"/>
        </w:rPr>
        <w:t xml:space="preserve">11,9 Milliarden </w:t>
      </w:r>
      <w:r w:rsidR="009C3553">
        <w:rPr>
          <w:sz w:val="24"/>
        </w:rPr>
        <w:t xml:space="preserve">Euro </w:t>
      </w:r>
      <w:r w:rsidR="009C76BE">
        <w:rPr>
          <w:sz w:val="24"/>
        </w:rPr>
        <w:t>neue Schulden aufgenommen</w:t>
      </w:r>
      <w:r w:rsidR="009C3553">
        <w:rPr>
          <w:sz w:val="24"/>
        </w:rPr>
        <w:t>. K</w:t>
      </w:r>
      <w:r w:rsidR="009C76BE">
        <w:rPr>
          <w:sz w:val="24"/>
        </w:rPr>
        <w:t xml:space="preserve">lares Ziel aus kommunaler Sicht ist deshalb, jetzt </w:t>
      </w:r>
      <w:proofErr w:type="gramStart"/>
      <w:r w:rsidR="009C76BE">
        <w:rPr>
          <w:sz w:val="24"/>
        </w:rPr>
        <w:t>um so</w:t>
      </w:r>
      <w:proofErr w:type="gramEnd"/>
      <w:r w:rsidR="009C76BE">
        <w:rPr>
          <w:sz w:val="24"/>
        </w:rPr>
        <w:t xml:space="preserve"> mehr darauf zu achten, dass die Ausgaben, vor allem im Sozialbereich, eingedämmt werden. Der Gemeindetag begrüßt deshalb die Ankündigung des Bundesfinanzministers</w:t>
      </w:r>
      <w:r w:rsidR="00D9370F">
        <w:rPr>
          <w:sz w:val="24"/>
        </w:rPr>
        <w:t>, keine neuen Ausgabenprogramme oder Steuerentlastungen zu planen.</w:t>
      </w:r>
      <w:r w:rsidR="009C3553">
        <w:rPr>
          <w:sz w:val="24"/>
        </w:rPr>
        <w:t xml:space="preserve"> „Wer schon wieder eine Erhöhung der Sozialausgaben fordert oder mit einer Steuersenkung liebäugelt, hat von </w:t>
      </w:r>
      <w:r w:rsidR="00152993">
        <w:rPr>
          <w:sz w:val="24"/>
        </w:rPr>
        <w:t>vorausschauender</w:t>
      </w:r>
      <w:r w:rsidR="009C3553">
        <w:rPr>
          <w:sz w:val="24"/>
        </w:rPr>
        <w:t xml:space="preserve"> </w:t>
      </w:r>
      <w:r w:rsidR="00152993">
        <w:rPr>
          <w:sz w:val="24"/>
        </w:rPr>
        <w:t>Finanzp</w:t>
      </w:r>
      <w:r w:rsidR="009C3553">
        <w:rPr>
          <w:sz w:val="24"/>
        </w:rPr>
        <w:t>olitik schlicht keine Ahnung“, sagt Kehle.</w:t>
      </w:r>
    </w:p>
    <w:p w:rsidR="00D9370F" w:rsidRDefault="00D9370F" w:rsidP="00324E01">
      <w:pPr>
        <w:ind w:right="2691"/>
        <w:rPr>
          <w:sz w:val="24"/>
        </w:rPr>
      </w:pPr>
    </w:p>
    <w:p w:rsidR="00B42B12" w:rsidRPr="004C2A9F" w:rsidRDefault="00D9370F" w:rsidP="00324E01">
      <w:pPr>
        <w:ind w:right="2691"/>
        <w:rPr>
          <w:sz w:val="24"/>
          <w:szCs w:val="24"/>
        </w:rPr>
      </w:pPr>
      <w:r>
        <w:rPr>
          <w:sz w:val="24"/>
        </w:rPr>
        <w:t>Das Land kaputtsparen möchte der Gemei</w:t>
      </w:r>
      <w:r w:rsidR="000C6C47">
        <w:rPr>
          <w:sz w:val="24"/>
        </w:rPr>
        <w:t xml:space="preserve">ndetag jedoch auf keinen Fall. </w:t>
      </w:r>
      <w:r>
        <w:rPr>
          <w:sz w:val="24"/>
        </w:rPr>
        <w:t xml:space="preserve">Mit den Zusatzmilliarden müsse dafür gesorgt werden, dass vor allem die in den vergangenen Jahren gebeutelten Städte und Gemeinden wieder finanziell </w:t>
      </w:r>
      <w:r w:rsidR="009C3553">
        <w:rPr>
          <w:sz w:val="24"/>
        </w:rPr>
        <w:t>auf gesunde Füße gestellt werden</w:t>
      </w:r>
      <w:r>
        <w:rPr>
          <w:sz w:val="24"/>
        </w:rPr>
        <w:t>. „</w:t>
      </w:r>
      <w:r w:rsidR="009C3553">
        <w:rPr>
          <w:sz w:val="24"/>
        </w:rPr>
        <w:t xml:space="preserve">Der </w:t>
      </w:r>
      <w:r>
        <w:rPr>
          <w:sz w:val="24"/>
        </w:rPr>
        <w:t xml:space="preserve">kommunale Motor </w:t>
      </w:r>
      <w:r w:rsidR="009C3553">
        <w:rPr>
          <w:sz w:val="24"/>
        </w:rPr>
        <w:t xml:space="preserve">muss </w:t>
      </w:r>
      <w:r>
        <w:rPr>
          <w:sz w:val="24"/>
        </w:rPr>
        <w:t xml:space="preserve">richtig in Fahrt </w:t>
      </w:r>
      <w:r w:rsidR="009C3553">
        <w:rPr>
          <w:sz w:val="24"/>
        </w:rPr>
        <w:t>kommen. N</w:t>
      </w:r>
      <w:r>
        <w:rPr>
          <w:sz w:val="24"/>
        </w:rPr>
        <w:t>ur dann können wir die Wirtschaft am Laufen halten</w:t>
      </w:r>
      <w:r w:rsidR="000C6C47">
        <w:rPr>
          <w:sz w:val="24"/>
        </w:rPr>
        <w:t xml:space="preserve">“, so Kehle weiter. </w:t>
      </w:r>
      <w:r>
        <w:rPr>
          <w:sz w:val="24"/>
        </w:rPr>
        <w:t>In den vergangenen Jahren verzeichneten insbeson</w:t>
      </w:r>
      <w:r w:rsidR="000C6C47">
        <w:rPr>
          <w:sz w:val="24"/>
        </w:rPr>
        <w:t xml:space="preserve">dere die Kommunen aufgrund der </w:t>
      </w:r>
      <w:r>
        <w:rPr>
          <w:sz w:val="24"/>
        </w:rPr>
        <w:t xml:space="preserve">nachlaufenden Auswirkungen der </w:t>
      </w:r>
      <w:r w:rsidR="008A7315">
        <w:rPr>
          <w:sz w:val="24"/>
        </w:rPr>
        <w:t>Wirtschafts- und Finan</w:t>
      </w:r>
      <w:r w:rsidR="003879D7">
        <w:rPr>
          <w:sz w:val="24"/>
        </w:rPr>
        <w:t xml:space="preserve">zkrise </w:t>
      </w:r>
      <w:r w:rsidR="007814F0">
        <w:rPr>
          <w:sz w:val="24"/>
        </w:rPr>
        <w:t>dramatische Einnahmeeinbußen.</w:t>
      </w:r>
    </w:p>
    <w:sectPr w:rsidR="00B42B12" w:rsidRPr="004C2A9F" w:rsidSect="00615828">
      <w:foot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F0" w:rsidRDefault="007814F0">
      <w:r>
        <w:separator/>
      </w:r>
    </w:p>
  </w:endnote>
  <w:endnote w:type="continuationSeparator" w:id="0">
    <w:p w:rsidR="007814F0" w:rsidRDefault="0078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F0" w:rsidRDefault="007814F0" w:rsidP="006A30C9">
    <w:pPr>
      <w:tabs>
        <w:tab w:val="left" w:pos="9072"/>
      </w:tabs>
      <w:jc w:val="right"/>
      <w:rPr>
        <w:sz w:val="20"/>
      </w:rPr>
    </w:pPr>
    <w:r w:rsidRPr="006A30C9">
      <w:rPr>
        <w:sz w:val="20"/>
      </w:rPr>
      <w:t>Gemeindetag Baden-Württemberg</w:t>
    </w:r>
    <w:r>
      <w:rPr>
        <w:sz w:val="20"/>
      </w:rPr>
      <w:t>, Panoramastraße 33, 70174 Stuttgart</w:t>
    </w:r>
  </w:p>
  <w:p w:rsidR="007814F0" w:rsidRPr="0085172A" w:rsidRDefault="007814F0" w:rsidP="006A30C9">
    <w:pPr>
      <w:pStyle w:val="Textkrper"/>
      <w:jc w:val="right"/>
    </w:pPr>
    <w:r>
      <w:t xml:space="preserve">Pressesprecherin: Kristina Fabijancic-Müller, Tel.: 0711 22572-34, </w:t>
    </w:r>
    <w:r w:rsidRPr="0085172A">
      <w:t>Mobil 0160 97272863</w:t>
    </w:r>
  </w:p>
  <w:p w:rsidR="007814F0" w:rsidRDefault="007814F0" w:rsidP="006A30C9">
    <w:pPr>
      <w:pStyle w:val="Textkrper"/>
      <w:jc w:val="right"/>
    </w:pPr>
    <w:r>
      <w:t>kristina.fabijancic-mueller@gemeindetag-bw.de  -  www.gemeindetag-bw.de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F0" w:rsidRDefault="007814F0">
      <w:r>
        <w:separator/>
      </w:r>
    </w:p>
  </w:footnote>
  <w:footnote w:type="continuationSeparator" w:id="0">
    <w:p w:rsidR="007814F0" w:rsidRDefault="00781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D04"/>
    <w:rsid w:val="000123DD"/>
    <w:rsid w:val="0005694E"/>
    <w:rsid w:val="000B6020"/>
    <w:rsid w:val="000C6C47"/>
    <w:rsid w:val="000E58FA"/>
    <w:rsid w:val="000F3F9A"/>
    <w:rsid w:val="000F6C77"/>
    <w:rsid w:val="00152993"/>
    <w:rsid w:val="001530EB"/>
    <w:rsid w:val="00192BF2"/>
    <w:rsid w:val="001F4266"/>
    <w:rsid w:val="00221ACC"/>
    <w:rsid w:val="00290148"/>
    <w:rsid w:val="0029103E"/>
    <w:rsid w:val="002A7EB1"/>
    <w:rsid w:val="002C3A5F"/>
    <w:rsid w:val="00324E01"/>
    <w:rsid w:val="00344580"/>
    <w:rsid w:val="0036301F"/>
    <w:rsid w:val="003879D7"/>
    <w:rsid w:val="003917DE"/>
    <w:rsid w:val="003C0209"/>
    <w:rsid w:val="003C5235"/>
    <w:rsid w:val="0040513E"/>
    <w:rsid w:val="00432968"/>
    <w:rsid w:val="0045687B"/>
    <w:rsid w:val="004856B4"/>
    <w:rsid w:val="004C2A9F"/>
    <w:rsid w:val="004D183F"/>
    <w:rsid w:val="004F43CD"/>
    <w:rsid w:val="004F51DB"/>
    <w:rsid w:val="0050550A"/>
    <w:rsid w:val="00571E4F"/>
    <w:rsid w:val="00595B06"/>
    <w:rsid w:val="005A253E"/>
    <w:rsid w:val="005A64A3"/>
    <w:rsid w:val="005B4596"/>
    <w:rsid w:val="005F48BC"/>
    <w:rsid w:val="00602589"/>
    <w:rsid w:val="00615828"/>
    <w:rsid w:val="00645FED"/>
    <w:rsid w:val="006A30C9"/>
    <w:rsid w:val="006B192C"/>
    <w:rsid w:val="007138BC"/>
    <w:rsid w:val="007814F0"/>
    <w:rsid w:val="00784895"/>
    <w:rsid w:val="007C3210"/>
    <w:rsid w:val="0085172A"/>
    <w:rsid w:val="00893B2C"/>
    <w:rsid w:val="008A7315"/>
    <w:rsid w:val="008B7BE6"/>
    <w:rsid w:val="008D04BF"/>
    <w:rsid w:val="008D276E"/>
    <w:rsid w:val="00900FC6"/>
    <w:rsid w:val="00902F4E"/>
    <w:rsid w:val="00921134"/>
    <w:rsid w:val="009544E1"/>
    <w:rsid w:val="0097177A"/>
    <w:rsid w:val="00992F12"/>
    <w:rsid w:val="009B7D04"/>
    <w:rsid w:val="009C3553"/>
    <w:rsid w:val="009C76BE"/>
    <w:rsid w:val="009F23E9"/>
    <w:rsid w:val="00A05066"/>
    <w:rsid w:val="00A50C98"/>
    <w:rsid w:val="00A54F3B"/>
    <w:rsid w:val="00A56296"/>
    <w:rsid w:val="00AC7C76"/>
    <w:rsid w:val="00B0126F"/>
    <w:rsid w:val="00B07F44"/>
    <w:rsid w:val="00B42B12"/>
    <w:rsid w:val="00B970AD"/>
    <w:rsid w:val="00CA2E3C"/>
    <w:rsid w:val="00CA39A2"/>
    <w:rsid w:val="00CD3E5E"/>
    <w:rsid w:val="00D21DE2"/>
    <w:rsid w:val="00D2332F"/>
    <w:rsid w:val="00D5158A"/>
    <w:rsid w:val="00D65989"/>
    <w:rsid w:val="00D65C36"/>
    <w:rsid w:val="00D9370F"/>
    <w:rsid w:val="00DA00BB"/>
    <w:rsid w:val="00DD256B"/>
    <w:rsid w:val="00DE6874"/>
    <w:rsid w:val="00E132D5"/>
    <w:rsid w:val="00E43615"/>
    <w:rsid w:val="00E96FC7"/>
    <w:rsid w:val="00EB28F8"/>
    <w:rsid w:val="00EB648B"/>
    <w:rsid w:val="00EE28A1"/>
    <w:rsid w:val="00F40146"/>
    <w:rsid w:val="00F51E26"/>
    <w:rsid w:val="00F81951"/>
    <w:rsid w:val="00F9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8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15828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5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582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15828"/>
    <w:pPr>
      <w:tabs>
        <w:tab w:val="left" w:pos="9072"/>
      </w:tabs>
    </w:pPr>
    <w:rPr>
      <w:sz w:val="20"/>
    </w:rPr>
  </w:style>
  <w:style w:type="character" w:styleId="Hyperlink">
    <w:name w:val="Hyperlink"/>
    <w:basedOn w:val="Absatz-Standardschriftart"/>
    <w:semiHidden/>
    <w:rsid w:val="006158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A30C9"/>
    <w:rPr>
      <w:rFonts w:ascii="Arial" w:hAnsi="Arial"/>
      <w:sz w:val="22"/>
    </w:rPr>
  </w:style>
  <w:style w:type="character" w:styleId="Fett">
    <w:name w:val="Strong"/>
    <w:basedOn w:val="Absatz-Standardschriftart"/>
    <w:uiPriority w:val="22"/>
    <w:qFormat/>
    <w:rsid w:val="00B42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jancic\AppData\Local\Microsoft\Windows\Temporary%20Internet%20Files\Content.Outlook\INT0DU82\Pressemitteilung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Vorlage.dot</Template>
  <TotalTime>0</TotalTime>
  <Pages>1</Pages>
  <Words>276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Gemeindetag Baden-Württemberg</vt:lpstr>
    </vt:vector>
  </TitlesOfParts>
  <Company>Gemeindetag Baden-Württemberg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Gemeindetag Baden-Württemberg</dc:title>
  <dc:creator>Administrator</dc:creator>
  <cp:lastModifiedBy>Administrator</cp:lastModifiedBy>
  <cp:revision>11</cp:revision>
  <cp:lastPrinted>2011-05-12T11:56:00Z</cp:lastPrinted>
  <dcterms:created xsi:type="dcterms:W3CDTF">2011-05-10T13:00:00Z</dcterms:created>
  <dcterms:modified xsi:type="dcterms:W3CDTF">2011-05-12T12:11:00Z</dcterms:modified>
</cp:coreProperties>
</file>